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2s8eyo1"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jc w:val="left"/>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7">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8">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2"/>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10">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11">
      <w:pPr>
        <w:pStyle w:val="Heading2"/>
        <w:keepNext w:val="1"/>
        <w:numPr>
          <w:ilvl w:val="2"/>
          <w:numId w:val="1"/>
        </w:numPr>
        <w:ind w:left="1800" w:hanging="1080"/>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12">
      <w:pPr>
        <w:pStyle w:val="Heading3"/>
        <w:numPr>
          <w:ilvl w:val="3"/>
          <w:numId w:val="1"/>
        </w:numPr>
        <w:ind w:left="2694" w:hanging="864"/>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3">
      <w:pPr>
        <w:pStyle w:val="Heading3"/>
        <w:numPr>
          <w:ilvl w:val="3"/>
          <w:numId w:val="1"/>
        </w:numPr>
        <w:ind w:left="2694" w:hanging="864"/>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4">
      <w:pPr>
        <w:pStyle w:val="Heading2"/>
        <w:numPr>
          <w:ilvl w:val="2"/>
          <w:numId w:val="1"/>
        </w:numPr>
        <w:ind w:left="1797" w:hanging="1077"/>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5">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6">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7">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8">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9">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E">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F">
      <w:pPr>
        <w:pStyle w:val="Heading2"/>
        <w:keepNext w:val="1"/>
        <w:numPr>
          <w:ilvl w:val="1"/>
          <w:numId w:val="1"/>
        </w:numPr>
        <w:ind w:left="709" w:hanging="720"/>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2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2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22">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8">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9">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A">
      <w:pPr>
        <w:spacing w:after="200" w:line="276" w:lineRule="auto"/>
        <w:jc w:val="left"/>
        <w:rPr>
          <w:rFonts w:ascii="Arial" w:cs="Arial" w:eastAsia="Arial" w:hAnsi="Arial"/>
          <w:b w:val="1"/>
          <w:smallCaps w:val="1"/>
        </w:rPr>
      </w:pPr>
      <w:r w:rsidDel="00000000" w:rsidR="00000000" w:rsidRPr="00000000">
        <w:rPr>
          <w:rFonts w:ascii="Arial" w:cs="Arial" w:eastAsia="Arial" w:hAnsi="Arial"/>
          <w:b w:val="1"/>
          <w:smallCaps w:val="1"/>
          <w:sz w:val="24"/>
          <w:szCs w:val="24"/>
          <w:rtl w:val="0"/>
        </w:rPr>
        <w:t xml:space="preserve">Annex 1</w:t>
      </w: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2B">
            <w:pPr>
              <w:rPr/>
            </w:pPr>
            <w:r w:rsidDel="00000000" w:rsidR="00000000" w:rsidRPr="00000000">
              <w:rPr>
                <w:rtl w:val="0"/>
              </w:rPr>
              <w:t xml:space="preserve">[</w:t>
            </w:r>
            <w:r w:rsidDel="00000000" w:rsidR="00000000" w:rsidRPr="00000000">
              <w:rPr>
                <w:b w:val="1"/>
                <w:highlight w:val="yellow"/>
                <w:rtl w:val="0"/>
              </w:rPr>
              <w:t xml:space="preserve">Insert</w:t>
            </w:r>
            <w:r w:rsidDel="00000000" w:rsidR="00000000" w:rsidRPr="00000000">
              <w:rPr>
                <w:b w:val="1"/>
                <w:rtl w:val="0"/>
              </w:rPr>
              <w:t xml:space="preserve"> </w:t>
            </w:r>
            <w:r w:rsidDel="00000000" w:rsidR="00000000" w:rsidRPr="00000000">
              <w:rPr>
                <w:rtl w:val="0"/>
              </w:rPr>
              <w:t xml:space="preserve">The Supplier must have a Call-Off Guarantor to Guarantee their performance using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Or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highlight w:val="yellow"/>
                <w:rtl w:val="0"/>
              </w:rPr>
              <w:t xml:space="preserve">Insert</w:t>
            </w:r>
            <w:r w:rsidDel="00000000" w:rsidR="00000000" w:rsidRPr="00000000">
              <w:rPr>
                <w:rtl w:val="0"/>
              </w:rPr>
              <w:t xml:space="preserve"> There’s a Guarantee of the Supplier’s performance provided for all Call-Off Contracts entered under the Framework Contract]</w:t>
            </w:r>
          </w:p>
        </w:tc>
        <w:tc>
          <w:tcPr/>
          <w:p w:rsidR="00000000" w:rsidDel="00000000" w:rsidP="00000000" w:rsidRDefault="00000000" w:rsidRPr="00000000" w14:paraId="00000030">
            <w:pPr>
              <w:rPr/>
            </w:pPr>
            <w:r w:rsidDel="00000000" w:rsidR="00000000" w:rsidRPr="00000000">
              <w:rPr>
                <w:b w:val="1"/>
                <w:highlight w:val="yellow"/>
                <w:rtl w:val="0"/>
              </w:rPr>
              <w:t xml:space="preserve">Buyer Guidance</w:t>
            </w:r>
            <w:r w:rsidDel="00000000" w:rsidR="00000000" w:rsidRPr="00000000">
              <w:rPr>
                <w:b w:val="1"/>
                <w:rtl w:val="0"/>
              </w:rPr>
              <w:t xml:space="preserve">:</w:t>
            </w:r>
            <w:r w:rsidDel="00000000" w:rsidR="00000000" w:rsidRPr="00000000">
              <w:rPr>
                <w:rtl w:val="0"/>
              </w:rPr>
              <w:t xml:space="preserve"> Select the term appropriate for this Call-Off Contract </w:t>
            </w:r>
          </w:p>
        </w:tc>
      </w:tr>
    </w:tbl>
    <w:p w:rsidR="00000000" w:rsidDel="00000000" w:rsidP="00000000" w:rsidRDefault="00000000" w:rsidRPr="00000000" w14:paraId="00000031">
      <w:pPr>
        <w:spacing w:after="0" w:line="256" w:lineRule="auto"/>
        <w:jc w:val="left"/>
        <w:rPr>
          <w:rFonts w:ascii="Arial" w:cs="Arial" w:eastAsia="Arial" w:hAnsi="Arial"/>
          <w:b w:val="1"/>
          <w:smallCaps w:val="1"/>
          <w:sz w:val="20"/>
          <w:szCs w:val="20"/>
          <w:highlight w:val="yellow"/>
        </w:rPr>
      </w:pPr>
      <w:r w:rsidDel="00000000" w:rsidR="00000000" w:rsidRPr="00000000">
        <w:rPr>
          <w:rtl w:val="0"/>
        </w:rPr>
      </w:r>
    </w:p>
    <w:p w:rsidR="00000000" w:rsidDel="00000000" w:rsidP="00000000" w:rsidRDefault="00000000" w:rsidRPr="00000000" w14:paraId="00000032">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E">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40">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41">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4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4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47">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49">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4A">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4"/>
        <w:tblW w:w="8778.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58">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59">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5A">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B">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C">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D">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F">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60">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61">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62">
      <w:pPr>
        <w:pStyle w:val="Heading2"/>
        <w:numPr>
          <w:ilvl w:val="1"/>
          <w:numId w:val="2"/>
        </w:numPr>
        <w:ind w:left="1429" w:hanging="720"/>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6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64">
      <w:pPr>
        <w:pStyle w:val="Heading2"/>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65">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6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67">
      <w:pPr>
        <w:pStyle w:val="Heading2"/>
        <w:numPr>
          <w:ilvl w:val="1"/>
          <w:numId w:val="2"/>
        </w:numPr>
        <w:ind w:left="1429" w:hanging="720"/>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68">
      <w:pPr>
        <w:pStyle w:val="Heading1"/>
        <w:numPr>
          <w:ilvl w:val="0"/>
          <w:numId w:val="2"/>
        </w:numPr>
        <w:ind w:left="720" w:hanging="720"/>
        <w:rPr>
          <w:rFonts w:ascii="Arial" w:cs="Arial" w:eastAsia="Arial" w:hAnsi="Arial"/>
          <w:sz w:val="24"/>
          <w:szCs w:val="24"/>
        </w:rPr>
      </w:pPr>
      <w:bookmarkStart w:colFirst="0" w:colLast="0" w:name="_heading=h.4d34og8" w:id="9"/>
      <w:bookmarkEnd w:id="9"/>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10"/>
      <w:bookmarkEnd w:id="10"/>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A">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B">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70">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7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7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7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7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7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76">
      <w:pPr>
        <w:pStyle w:val="Heading1"/>
        <w:numPr>
          <w:ilvl w:val="0"/>
          <w:numId w:val="2"/>
        </w:numPr>
        <w:ind w:left="720" w:hanging="720"/>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77">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78">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79">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B">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D">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F">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80">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81">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82">
      <w:pPr>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83">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85">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86">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87">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88">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89">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B">
      <w:pPr>
        <w:pStyle w:val="Heading1"/>
        <w:numPr>
          <w:ilvl w:val="0"/>
          <w:numId w:val="2"/>
        </w:numPr>
        <w:ind w:left="720" w:hanging="720"/>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C">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9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9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9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93">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9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95">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9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97">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98">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99">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9A">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B">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C">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D">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E">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F">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A0">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A1">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A3">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A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A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A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A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A">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C">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D">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E">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F">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B0">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B2">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B8">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B">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C2">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F">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E8">
      <w:pPr>
        <w:numPr>
          <w:ilvl w:val="0"/>
          <w:numId w:val="4"/>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F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120"/>
      <w:ind w:left="360" w:hanging="360"/>
      <w:outlineLvl w:val="0"/>
    </w:pPr>
    <w:rPr>
      <w:b w:val="1"/>
    </w:rPr>
  </w:style>
  <w:style w:type="paragraph" w:styleId="Heading2">
    <w:name w:val="heading 2"/>
    <w:basedOn w:val="Normal"/>
    <w:next w:val="Normal"/>
    <w:uiPriority w:val="9"/>
    <w:unhideWhenUsed w:val="1"/>
    <w:qFormat w:val="1"/>
    <w:pPr>
      <w:spacing w:after="120" w:before="120"/>
      <w:ind w:left="936" w:hanging="576"/>
      <w:outlineLvl w:val="1"/>
    </w:pPr>
  </w:style>
  <w:style w:type="paragraph" w:styleId="Heading3">
    <w:name w:val="heading 3"/>
    <w:basedOn w:val="Normal"/>
    <w:next w:val="Normal"/>
    <w:uiPriority w:val="9"/>
    <w:unhideWhenUsed w:val="1"/>
    <w:qFormat w:val="1"/>
    <w:pPr>
      <w:spacing w:after="120" w:before="120"/>
      <w:ind w:left="1656" w:hanging="720"/>
      <w:outlineLvl w:val="2"/>
    </w:pPr>
  </w:style>
  <w:style w:type="paragraph" w:styleId="Heading4">
    <w:name w:val="heading 4"/>
    <w:basedOn w:val="Normal"/>
    <w:next w:val="Normal"/>
    <w:uiPriority w:val="9"/>
    <w:semiHidden w:val="1"/>
    <w:unhideWhenUsed w:val="1"/>
    <w:qFormat w:val="1"/>
    <w:pPr>
      <w:spacing w:after="120" w:before="120"/>
      <w:ind w:left="2592" w:hanging="936"/>
      <w:outlineLvl w:val="3"/>
    </w:p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rsid w:val="009655E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pPr>
    <w:tblPr>
      <w:tblStyleRowBandSize w:val="1"/>
      <w:tblStyleColBandSize w:val="1"/>
      <w:tblCellMar>
        <w:left w:w="115.0" w:type="dxa"/>
        <w:right w:w="115.0" w:type="dxa"/>
      </w:tblCellMar>
    </w:tblPr>
  </w:style>
  <w:style w:type="table" w:styleId="TableGrid">
    <w:name w:val="Table Grid"/>
    <w:basedOn w:val="TableNormal"/>
    <w:uiPriority w:val="39"/>
    <w:rsid w:val="00B438B5"/>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5" w:customStyle="1">
    <w:basedOn w:val="TableNormal"/>
    <w:pPr>
      <w:spacing w:after="0"/>
    </w:pPr>
    <w:tblPr>
      <w:tblStyleRowBandSize w:val="1"/>
      <w:tblStyleColBandSize w:val="1"/>
      <w:tblCellMar>
        <w:top w:w="100.0" w:type="dxa"/>
        <w:left w:w="115.0" w:type="dxa"/>
        <w:bottom w:w="100.0" w:type="dxa"/>
        <w:right w:w="115.0" w:type="dxa"/>
      </w:tblCellMar>
    </w:tblPr>
  </w:style>
  <w:style w:type="table" w:styleId="a6" w:customStyle="1">
    <w:basedOn w:val="TableNormal"/>
    <w:pPr>
      <w:spacing w:after="0"/>
    </w:pPr>
    <w:tblPr>
      <w:tblStyleRowBandSize w:val="1"/>
      <w:tblStyleColBandSize w:val="1"/>
      <w:tblCellMar>
        <w:top w:w="100.0" w:type="dxa"/>
        <w:left w:w="115.0" w:type="dxa"/>
        <w:bottom w:w="100.0" w:type="dxa"/>
        <w:right w:w="115.0" w:type="dxa"/>
      </w:tblCellMar>
    </w:tblPr>
  </w:style>
  <w:style w:type="table" w:styleId="a7" w:customStyle="1">
    <w:basedOn w:val="TableNormal"/>
    <w:pPr>
      <w:spacing w:after="0"/>
    </w:pPr>
    <w:tblPr>
      <w:tblStyleRowBandSize w:val="1"/>
      <w:tblStyleColBandSize w:val="1"/>
      <w:tblCellMar>
        <w:top w:w="100.0" w:type="dxa"/>
        <w:left w:w="115.0" w:type="dxa"/>
        <w:bottom w:w="100.0" w:type="dxa"/>
        <w:right w:w="115.0" w:type="dxa"/>
      </w:tblCellMar>
    </w:tblPr>
  </w:style>
  <w:style w:type="table" w:styleId="a8" w:customStyle="1">
    <w:basedOn w:val="TableNormal"/>
    <w:pPr>
      <w:spacing w:after="0"/>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pRMv130PKeg7jTstW+G1AMmRcA==">CgMxLjAyCWguMnM4ZXlvMTIIaC5namRneHMyCWguMzBqMHpsbDIJaC4xZm9iOXRlMgloLjN6bnlzaDcyCWguMmV0OTJwMDIIaC50eWpjd3QyCWguM2R5NnZrbTIJaC4xdDNoNXNmMgloLjRkMzRvZzgyCmlkLjJzOGV5bzEyCWguMTdkcDh2dTIJaC4zcmRjcmpuOAByITE4b1lRV3ZsSm1FQjBnOTNNdF9Hb1JYeHQ5cG8yU1pEbQ==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2024-07-05T11:33:00Z</dcterms:created>
  <dc:creator>David Tinkler</dc:creator>
</cp:coreProperties>
</file>